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8"/>
        <w:gridCol w:w="1800"/>
        <w:gridCol w:w="706"/>
        <w:gridCol w:w="194"/>
        <w:gridCol w:w="694"/>
        <w:gridCol w:w="566"/>
        <w:gridCol w:w="816"/>
        <w:gridCol w:w="18"/>
        <w:gridCol w:w="786"/>
        <w:gridCol w:w="194"/>
        <w:gridCol w:w="526"/>
        <w:gridCol w:w="636"/>
        <w:gridCol w:w="84"/>
        <w:gridCol w:w="996"/>
      </w:tblGrid>
      <w:tr w:rsidR="00AF33B6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2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F33B6" w:rsidRPr="00D0566D" w:rsidRDefault="00AF33B6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Oporezivanje dobiti</w:t>
            </w:r>
          </w:p>
        </w:tc>
      </w:tr>
      <w:tr w:rsidR="00AF33B6" w:rsidRPr="00D0566D" w:rsidTr="00AF33B6">
        <w:trPr>
          <w:trHeight w:val="446"/>
        </w:trPr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322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AF33B6" w:rsidRPr="00F44412" w:rsidTr="00AF33B6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F44412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F44412" w:rsidRDefault="00F5672D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Fonts w:ascii="Arial" w:hAnsi="Arial" w:cs="Arial"/>
                <w:sz w:val="20"/>
                <w:szCs w:val="20"/>
              </w:rPr>
              <w:t>Mr. sc. Renko Letnić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F44412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322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F44412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F44412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AF33B6" w:rsidRPr="00D0566D" w:rsidTr="00AF33B6">
        <w:trPr>
          <w:trHeight w:val="345"/>
        </w:trPr>
        <w:tc>
          <w:tcPr>
            <w:tcW w:w="190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8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9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AF33B6" w:rsidRPr="00D0566D" w:rsidTr="00AF33B6">
        <w:trPr>
          <w:trHeight w:val="345"/>
        </w:trPr>
        <w:tc>
          <w:tcPr>
            <w:tcW w:w="190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8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2E5E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9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33B6" w:rsidRPr="00D0566D" w:rsidRDefault="00AF33B6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AF33B6" w:rsidRPr="00D0566D" w:rsidTr="00AF33B6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AF33B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2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BF5AAB" w:rsidRDefault="00BF5AAB" w:rsidP="00BF5AAB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15%</w:t>
            </w:r>
          </w:p>
        </w:tc>
      </w:tr>
      <w:tr w:rsidR="00AF33B6" w:rsidRPr="00D0566D" w:rsidTr="002F2292">
        <w:tc>
          <w:tcPr>
            <w:tcW w:w="992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01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sz w:val="20"/>
                <w:szCs w:val="20"/>
              </w:rPr>
              <w:t>Povezivanje financijske teorije, zakonskih određenja  i prakse u sustavu oporezivanja dobiti</w:t>
            </w:r>
          </w:p>
          <w:p w:rsidR="00AF33B6" w:rsidRPr="00D0566D" w:rsidRDefault="00AF33B6" w:rsidP="002F22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Temeljna znanja iz područja financija, računovodstva i analize financijskih izvještaja.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33B6" w:rsidRPr="00D0566D" w:rsidRDefault="00AF33B6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AF33B6" w:rsidRPr="00D0566D" w:rsidRDefault="00AF33B6" w:rsidP="00B76E99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Ishod učenja predmeta: </w:t>
            </w:r>
          </w:p>
          <w:p w:rsidR="00AF33B6" w:rsidRPr="00D0566D" w:rsidRDefault="00AF33B6" w:rsidP="00B76E99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Prezentirati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sustav poreza na dobit, razloge i teorije njegova nastanka i uvođenja u porezne sustave država i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usporediti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stanje i trendove u oporezivanju dobiti u Hrvatskoj sa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 EU i zemljama regije.</w:t>
            </w:r>
          </w:p>
          <w:p w:rsidR="00AF33B6" w:rsidRPr="00D0566D" w:rsidRDefault="00AF33B6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AF33B6" w:rsidRPr="00D0566D" w:rsidRDefault="00AF33B6" w:rsidP="00B76E99">
            <w:pPr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AF33B6" w:rsidRPr="00D0566D" w:rsidRDefault="00AF33B6" w:rsidP="00AF33B6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76E99">
              <w:rPr>
                <w:rFonts w:ascii="Times New Roman" w:hAnsi="Times New Roman" w:cs="Arial"/>
                <w:color w:val="FF0000"/>
                <w:sz w:val="20"/>
                <w:szCs w:val="20"/>
              </w:rPr>
              <w:t>Pr</w:t>
            </w:r>
            <w:r w:rsidR="00B76E99" w:rsidRPr="00B76E99">
              <w:rPr>
                <w:rFonts w:ascii="Times New Roman" w:hAnsi="Times New Roman" w:cs="Arial"/>
                <w:color w:val="FF0000"/>
                <w:sz w:val="20"/>
                <w:szCs w:val="20"/>
              </w:rPr>
              <w:t>ezentirati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temeljna obilježja hrvatskog sustava poreza na dobit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Otkriti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čimbenike povećanja i smanjenja porezne osnovice poreza na dobit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Procijeniti korištenje poreznih gubitaka poslovnih subjekata: u redovnom poslovanju statusnim promjenama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AF33B6" w:rsidRPr="00D0566D" w:rsidRDefault="00AF33B6" w:rsidP="00AF33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Sastaviti</w:t>
            </w:r>
            <w:r w:rsidRPr="00D0566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porezn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izvješć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>a poreza na dobit.</w:t>
            </w:r>
          </w:p>
          <w:p w:rsidR="00AF33B6" w:rsidRPr="00D0566D" w:rsidRDefault="00AF33B6" w:rsidP="00B76E99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Povezati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znanja iz oporezivanja dobiti  s mogućim utjecajem na investicije</w:t>
            </w:r>
            <w:r w:rsidR="00B76E99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</w:tc>
      </w:tr>
      <w:tr w:rsidR="00AF33B6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82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943"/>
              <w:gridCol w:w="540"/>
              <w:gridCol w:w="3307"/>
              <w:gridCol w:w="455"/>
            </w:tblGrid>
            <w:tr w:rsidR="00AF33B6" w:rsidRPr="00D0566D" w:rsidTr="002F2292">
              <w:trPr>
                <w:jc w:val="center"/>
              </w:trPr>
              <w:tc>
                <w:tcPr>
                  <w:tcW w:w="44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AF33B6" w:rsidRPr="00D0566D" w:rsidTr="002F2292">
              <w:trPr>
                <w:cantSplit/>
                <w:trHeight w:val="290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AF33B6" w:rsidRPr="00D0566D" w:rsidTr="002F2292">
              <w:trPr>
                <w:cantSplit/>
                <w:trHeight w:val="306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1.Povijesni razvoj poreza na dobit, Teorije opravdanja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Čimbenici utjecaja na porezni sustav i sustav PD-a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2.Sustavi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Distorzije i oporezivanje dobiti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3.Hrvatski sustav poreza na dobit//retrospektiva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Sustavi poreza na dobit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4.Zakonski okvir sustava PD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Zakonski okvir hrvatskog sustava PD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5.Temeljne kategorije sustava poreza na dobit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Porezni obveznik, prihodi, rashodi, ulaganja člana društva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6.Povećanja dobiti/smanjenje gubitka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Povećanja dobiti, smanjenje gubitka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420FC7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  <w:r w:rsidR="00AF33B6" w:rsidRPr="00D0566D">
                    <w:rPr>
                      <w:rFonts w:ascii="Times New Roman" w:hAnsi="Times New Roman"/>
                      <w:sz w:val="20"/>
                      <w:szCs w:val="20"/>
                    </w:rPr>
                    <w:t>Smanjenja dobiti/povećanja gubitka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Smanjenja dobiti, povećanja gubitka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8. .Porezni gubici i statusne promjene, porez po odbitku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Državne potpore u obrazovanju i znanstveno istraživački projekti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9. Olakšice, oslobođenja i poticaji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Statusne promjene, Porezni gubici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10. Zakonska određenja utvrđenja osnovice PD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Olakšice, oslobođenja i poticaji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11. Mjerodavnost poslovnih knjiga i financijska izvješća, porezna evidencija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Utvrđivanje porezne osnovice (1)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12.Kaznene odredbe i njihove implikacije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Utvrđivanje porezne osnovice/ (2) 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13. Oporezivanje dobiti u EU; stanje i trendovi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Promjena metodologije porezne osnovice /poreznog sustava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14. Usporedna analiza poreza na dobit i poreza na dohodak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Sastavljanje poreznog izvješća PD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F33B6" w:rsidRPr="00D0566D" w:rsidTr="002F2292">
              <w:trPr>
                <w:cantSplit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 xml:space="preserve">15. Porez na dobit i investicije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Porezni praznici i investicijske olakšice</w:t>
                  </w:r>
                </w:p>
              </w:tc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33B6" w:rsidRPr="00D0566D" w:rsidRDefault="00AF33B6" w:rsidP="002F22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D0566D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F33B6" w:rsidRPr="00D0566D" w:rsidRDefault="00AF33B6" w:rsidP="002F229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F33B6" w:rsidRPr="00D0566D" w:rsidTr="002F2292">
        <w:trPr>
          <w:trHeight w:val="349"/>
        </w:trPr>
        <w:tc>
          <w:tcPr>
            <w:tcW w:w="190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62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Pr="00D0566D">
              <w:rPr>
                <w:rFonts w:ascii="Times New Roman" w:eastAsia="MS Mincho" w:hAnsi="Arial" w:cs="MS Mincho"/>
                <w:sz w:val="20"/>
                <w:szCs w:val="20"/>
              </w:rPr>
              <w:t> </w:t>
            </w:r>
            <w:r w:rsidR="003B1C2E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F33B6" w:rsidRPr="00D0566D" w:rsidTr="002F2292">
        <w:trPr>
          <w:trHeight w:val="57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62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F33B6" w:rsidRPr="00D0566D" w:rsidRDefault="00AF33B6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01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897FA1" w:rsidRDefault="00BF5AAB" w:rsidP="008A5178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897FA1">
              <w:rPr>
                <w:rFonts w:ascii="Arial" w:hAnsi="Arial" w:cs="Arial"/>
                <w:sz w:val="20"/>
                <w:szCs w:val="20"/>
              </w:rPr>
              <w:t xml:space="preserve">Uvjet za ostvarenje prava na potpis je redovito pohađanje nastave – za redovne studente: 70% prisustvovanja na predavanjima i vježbama; </w:t>
            </w:r>
            <w:r w:rsidRPr="00897FA1">
              <w:rPr>
                <w:rFonts w:ascii="Arial" w:hAnsi="Arial" w:cs="Arial"/>
                <w:color w:val="FF0000"/>
                <w:sz w:val="20"/>
                <w:szCs w:val="20"/>
              </w:rPr>
              <w:t>za izvanredne studente 50% prisustvovanja na predavanjima i vježbama.</w:t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8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0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897FA1" w:rsidP="00897FA1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1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16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F5AA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="00BF5AAB" w:rsidRPr="00D0566D">
              <w:rPr>
                <w:rFonts w:eastAsia="MS Mincho" w:hAnsi="Arial" w:cs="MS Mincho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897FA1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BF5AAB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0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897FA1" w:rsidRDefault="00897FA1" w:rsidP="00897FA1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897FA1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260" w:type="dxa"/>
            <w:gridSpan w:val="2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BF5AAB" w:rsidRPr="00897FA1" w:rsidRDefault="00897FA1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897FA1">
              <w:rPr>
                <w:rFonts w:ascii="Times New Roman" w:hAnsi="Times New Roman" w:cs="Arial"/>
                <w:color w:val="FF0000"/>
                <w:sz w:val="20"/>
                <w:szCs w:val="20"/>
              </w:rPr>
              <w:t>2,5</w:t>
            </w:r>
          </w:p>
        </w:tc>
        <w:tc>
          <w:tcPr>
            <w:tcW w:w="2160" w:type="dxa"/>
            <w:gridSpan w:val="5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F5AAB" w:rsidRPr="00D0566D" w:rsidTr="002F2292">
        <w:trPr>
          <w:trHeight w:val="397"/>
        </w:trPr>
        <w:tc>
          <w:tcPr>
            <w:tcW w:w="190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90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897FA1" w:rsidRDefault="00897FA1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</w:rPr>
            </w:pPr>
            <w:r w:rsidRPr="00897FA1">
              <w:rPr>
                <w:rFonts w:ascii="Times New Roman" w:hAnsi="Times New Roman" w:cs="Arial"/>
                <w:color w:val="FF0000"/>
                <w:sz w:val="20"/>
                <w:szCs w:val="20"/>
              </w:rPr>
              <w:t>2,5</w:t>
            </w:r>
          </w:p>
        </w:tc>
        <w:tc>
          <w:tcPr>
            <w:tcW w:w="126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81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016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EB43E2" w:rsidRDefault="00BF5AAB" w:rsidP="00BF5A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Tijekom semestra održat će se pisane provjere znanja putem dva kolokvija. Oba kolokvija nose 100% od ukupne ocjene i sastoje se od teorijskih pitanja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 numeričkih zadataka</w:t>
            </w: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je položen ukoliko je ostvareno 60% ukupnog broja bodova. Studenti koji polože oba kolokvija, položili su ispit. Konačna ocjena formira se kao prosjek postignutih bodova na oba kolokvija. </w:t>
            </w:r>
          </w:p>
          <w:p w:rsidR="00BF5AAB" w:rsidRPr="00EB43E2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BF5AAB" w:rsidRPr="007F27FF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BF5AAB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BF5AAB" w:rsidRDefault="00BF5AAB" w:rsidP="00BF5A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5AAB" w:rsidRPr="00B76E99" w:rsidRDefault="00BF5AAB" w:rsidP="00BF5AAB">
            <w:pPr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spit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sastoji od pisanog i usmenog dijela. Usmenom dijelu može pristupiti student koji je ostvario minimalno 60% bodova na pisanom dijelu ispita. Konačna ocjena se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formira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 temelju prosjeka pisanog i usmenog dijela</w:t>
            </w:r>
          </w:p>
        </w:tc>
      </w:tr>
      <w:tr w:rsidR="00BF5AAB" w:rsidRPr="00D0566D" w:rsidTr="002F2292">
        <w:tc>
          <w:tcPr>
            <w:tcW w:w="190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(dostupna u knjižnici i putem ostalih medija)</w:t>
            </w:r>
          </w:p>
        </w:tc>
        <w:tc>
          <w:tcPr>
            <w:tcW w:w="4794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98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242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Letnić, R., Nastavni materijali s predavanja i vježbi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BF5AAB" w:rsidRDefault="00BF5AAB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BF5AAB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Blažić,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H.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Usporedni sustavi, oporezivanje dohotka i dobiti, Ekonomski fakultet Sveučilišta u Rijeci, 2007.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</w:t>
            </w:r>
          </w:p>
        </w:tc>
        <w:tc>
          <w:tcPr>
            <w:tcW w:w="2242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F5AAB" w:rsidRPr="00D0566D" w:rsidTr="002F2292">
        <w:trPr>
          <w:trHeight w:val="75"/>
        </w:trPr>
        <w:tc>
          <w:tcPr>
            <w:tcW w:w="1908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B76E9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Bubić,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J.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Oporezivanje dobiti, Materijali predavanja, 2013.</w:t>
            </w:r>
          </w:p>
        </w:tc>
        <w:tc>
          <w:tcPr>
            <w:tcW w:w="980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BF5AAB" w:rsidRDefault="00BF5AAB" w:rsidP="002F2292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BF5AAB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BF5AAB">
              <w:rPr>
                <w:rFonts w:ascii="Times New Roman" w:hAnsi="Times New Roman" w:cs="Arial"/>
                <w:color w:val="000000"/>
                <w:sz w:val="20"/>
                <w:szCs w:val="20"/>
              </w:rPr>
              <w:t>Dopunska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</w:t>
            </w:r>
          </w:p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801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97FA1" w:rsidRPr="007F27FF" w:rsidRDefault="00897FA1" w:rsidP="00897FA1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BF5AAB" w:rsidRPr="00D0566D" w:rsidRDefault="00BF5AAB" w:rsidP="00BF5A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Jelčić.B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. P.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Bejaković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: Razvoj i perspektive oporezivanja u Hrvatskoj, HAZU, Zagreb, 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2012.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Svezak 39</w:t>
            </w:r>
          </w:p>
          <w:p w:rsidR="00BF5AAB" w:rsidRPr="00D0566D" w:rsidRDefault="00BF5AAB" w:rsidP="00897FA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Jelčić,B. 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: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Javne financije, RRIF, Zagreb, 2001.</w:t>
            </w:r>
          </w:p>
          <w:p w:rsidR="00BF5AAB" w:rsidRDefault="00BF5AAB" w:rsidP="00B76E99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  <w:p w:rsidR="00897FA1" w:rsidRPr="007F27FF" w:rsidRDefault="00897FA1" w:rsidP="00897FA1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lastRenderedPageBreak/>
              <w:t>Ostali izvori:</w:t>
            </w:r>
          </w:p>
          <w:p w:rsidR="00BF5AAB" w:rsidRPr="00D0566D" w:rsidRDefault="00BF5AAB" w:rsidP="00BF5A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Pravilnik o porezu na dobit, NN 95/05 do 61/12,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7" w:history="1">
              <w:r w:rsidRPr="00D0566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http://propisi.porezna-uprava.hr/?id=b04d1</w:t>
              </w:r>
            </w:hyperlink>
          </w:p>
          <w:p w:rsidR="00BF5AAB" w:rsidRDefault="00BF5AAB" w:rsidP="00BF5AAB">
            <w:pPr>
              <w:tabs>
                <w:tab w:val="left" w:pos="2820"/>
              </w:tabs>
              <w:spacing w:after="0"/>
              <w:rPr>
                <w:rStyle w:val="Hyperlink"/>
                <w:rFonts w:ascii="Times New Roman" w:hAnsi="Times New Roman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Zakon o porezu na dobit, NN 177/04 do 22/12,</w:t>
            </w:r>
            <w:r w:rsidR="00897FA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hyperlink r:id="rId8" w:history="1">
              <w:r w:rsidRPr="00D0566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http://propisi.porezna-uprava.hr/?id=b04d1</w:t>
              </w:r>
            </w:hyperlink>
          </w:p>
          <w:p w:rsidR="00BF5AAB" w:rsidRPr="00D0566D" w:rsidRDefault="00BF5AAB" w:rsidP="00B76E99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1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BF5AAB" w:rsidRPr="00D0566D" w:rsidRDefault="00BF5AAB" w:rsidP="00AF33B6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897FA1" w:rsidRPr="00897FA1" w:rsidRDefault="00BF5AAB" w:rsidP="00897FA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BF5AAB" w:rsidRPr="00D0566D" w:rsidRDefault="00BF5AAB" w:rsidP="00897FA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F5AAB" w:rsidRPr="00D0566D" w:rsidTr="002F2292">
        <w:tc>
          <w:tcPr>
            <w:tcW w:w="190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F5AAB" w:rsidRPr="00D0566D" w:rsidRDefault="00BF5AA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01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F5AAB" w:rsidRPr="00D0566D" w:rsidRDefault="003B1C2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5AA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="00BF5AAB" w:rsidRPr="00D0566D">
              <w:rPr>
                <w:rFonts w:ascii="Times New Roman" w:eastAsia="MS Mincho" w:hAnsi="Arial" w:cs="MS Mincho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AF33B6" w:rsidRDefault="00AF33B6"/>
    <w:p w:rsidR="00AF33B6" w:rsidRPr="00AF33B6" w:rsidRDefault="00AF33B6" w:rsidP="00AF33B6"/>
    <w:p w:rsidR="00AF33B6" w:rsidRPr="00AF33B6" w:rsidRDefault="00AF33B6" w:rsidP="00AF33B6"/>
    <w:p w:rsidR="00AF33B6" w:rsidRPr="00AF33B6" w:rsidRDefault="00AF33B6" w:rsidP="00AF33B6"/>
    <w:p w:rsidR="006334CF" w:rsidRPr="00AF33B6" w:rsidRDefault="006334CF" w:rsidP="00AF33B6"/>
    <w:sectPr w:rsidR="006334CF" w:rsidRPr="00AF33B6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F24" w:rsidRDefault="00143F24" w:rsidP="00AF33B6">
      <w:pPr>
        <w:spacing w:after="0" w:line="240" w:lineRule="auto"/>
      </w:pPr>
      <w:r>
        <w:separator/>
      </w:r>
    </w:p>
  </w:endnote>
  <w:endnote w:type="continuationSeparator" w:id="0">
    <w:p w:rsidR="00143F24" w:rsidRDefault="00143F24" w:rsidP="00AF3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F24" w:rsidRDefault="00143F24" w:rsidP="00AF33B6">
      <w:pPr>
        <w:spacing w:after="0" w:line="240" w:lineRule="auto"/>
      </w:pPr>
      <w:r>
        <w:separator/>
      </w:r>
    </w:p>
  </w:footnote>
  <w:footnote w:type="continuationSeparator" w:id="0">
    <w:p w:rsidR="00143F24" w:rsidRDefault="00143F24" w:rsidP="00AF3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97C92"/>
    <w:multiLevelType w:val="hybridMultilevel"/>
    <w:tmpl w:val="473087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ED1182"/>
    <w:multiLevelType w:val="hybridMultilevel"/>
    <w:tmpl w:val="A0160900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3B1827"/>
    <w:multiLevelType w:val="hybridMultilevel"/>
    <w:tmpl w:val="89FADD2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3B6"/>
    <w:rsid w:val="00143F24"/>
    <w:rsid w:val="0016215F"/>
    <w:rsid w:val="0019326D"/>
    <w:rsid w:val="00271154"/>
    <w:rsid w:val="00277CA6"/>
    <w:rsid w:val="00295D17"/>
    <w:rsid w:val="002E5EB6"/>
    <w:rsid w:val="0034707C"/>
    <w:rsid w:val="003B1C2E"/>
    <w:rsid w:val="00420FC7"/>
    <w:rsid w:val="005858D5"/>
    <w:rsid w:val="006334CF"/>
    <w:rsid w:val="0067771E"/>
    <w:rsid w:val="006A3099"/>
    <w:rsid w:val="007321E1"/>
    <w:rsid w:val="007A4EAF"/>
    <w:rsid w:val="0080700F"/>
    <w:rsid w:val="00897FA1"/>
    <w:rsid w:val="0092718D"/>
    <w:rsid w:val="00996969"/>
    <w:rsid w:val="00AB628B"/>
    <w:rsid w:val="00AF33B6"/>
    <w:rsid w:val="00B4194A"/>
    <w:rsid w:val="00B76E99"/>
    <w:rsid w:val="00B91399"/>
    <w:rsid w:val="00BA01C6"/>
    <w:rsid w:val="00BF5AAB"/>
    <w:rsid w:val="00C07AD9"/>
    <w:rsid w:val="00D4141F"/>
    <w:rsid w:val="00E51A6F"/>
    <w:rsid w:val="00EE4BEB"/>
    <w:rsid w:val="00EE679D"/>
    <w:rsid w:val="00F309D0"/>
    <w:rsid w:val="00F44412"/>
    <w:rsid w:val="00F56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3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F33B6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AF33B6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AF33B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F33B6"/>
    <w:rPr>
      <w:rFonts w:ascii="Verdana" w:hAnsi="Verdana" w:cs="Times New Roman"/>
      <w:color w:val="003399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33B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33B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3B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AF33B6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AF33B6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AF33B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F33B6"/>
    <w:rPr>
      <w:rFonts w:ascii="Verdana" w:hAnsi="Verdana" w:cs="Times New Roman"/>
      <w:color w:val="003399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33B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F3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33B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pisi.porezna-uprava.hr/?id=b04d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opisi.porezna-uprava.hr/?id=b04d1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2018-06-07T10:33:00Z</dcterms:created>
  <dcterms:modified xsi:type="dcterms:W3CDTF">2018-07-03T11:21:00Z</dcterms:modified>
</cp:coreProperties>
</file>